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95"/>
        <w:gridCol w:w="5395"/>
      </w:tblGrid>
      <w:tr w:rsidR="006B5071" w:rsidRPr="001E16EA" w14:paraId="619E07EE" w14:textId="77777777" w:rsidTr="001E16EA">
        <w:tc>
          <w:tcPr>
            <w:tcW w:w="5395" w:type="dxa"/>
            <w:shd w:val="clear" w:color="auto" w:fill="auto"/>
          </w:tcPr>
          <w:p w14:paraId="1BF5F8D8" w14:textId="77777777" w:rsidR="006B5071" w:rsidRPr="006F3281" w:rsidRDefault="006B5071" w:rsidP="000E473D">
            <w:pPr>
              <w:spacing w:after="0" w:line="240" w:lineRule="auto"/>
              <w:jc w:val="center"/>
              <w:rPr>
                <w:b/>
                <w:color w:val="FF0000"/>
              </w:rPr>
            </w:pPr>
            <w:r w:rsidRPr="006F3281">
              <w:rPr>
                <w:b/>
                <w:color w:val="FF0000"/>
              </w:rPr>
              <w:t xml:space="preserve">BAN TUYÊN GIÁO ĐẢNG </w:t>
            </w:r>
            <w:proofErr w:type="gramStart"/>
            <w:r w:rsidRPr="006F3281">
              <w:rPr>
                <w:b/>
                <w:color w:val="FF0000"/>
              </w:rPr>
              <w:t>ỦY</w:t>
            </w:r>
            <w:proofErr w:type="gramEnd"/>
          </w:p>
          <w:p w14:paraId="46582E24" w14:textId="77777777" w:rsidR="006B5071" w:rsidRPr="001E16EA" w:rsidRDefault="006B5071" w:rsidP="000E473D">
            <w:pPr>
              <w:spacing w:after="0" w:line="240" w:lineRule="auto"/>
              <w:jc w:val="center"/>
            </w:pPr>
            <w:r w:rsidRPr="006F3281">
              <w:rPr>
                <w:color w:val="FF0000"/>
              </w:rPr>
              <w:t>THÔNG TIN CÔNG TÁC TƯ TƯỞNG</w:t>
            </w:r>
          </w:p>
        </w:tc>
        <w:tc>
          <w:tcPr>
            <w:tcW w:w="5395" w:type="dxa"/>
            <w:shd w:val="clear" w:color="auto" w:fill="auto"/>
          </w:tcPr>
          <w:p w14:paraId="3FEEF358" w14:textId="0F9F1F73" w:rsidR="006B5071" w:rsidRPr="001E16EA" w:rsidRDefault="00513E0D" w:rsidP="000E473D">
            <w:pPr>
              <w:spacing w:after="0" w:line="240" w:lineRule="auto"/>
              <w:jc w:val="right"/>
              <w:rPr>
                <w:color w:val="FF0000"/>
              </w:rPr>
            </w:pPr>
            <w:r w:rsidRPr="001E16EA">
              <w:rPr>
                <w:color w:val="FF0000"/>
              </w:rPr>
              <w:t xml:space="preserve">Tháng </w:t>
            </w:r>
            <w:r w:rsidR="006151EE">
              <w:rPr>
                <w:color w:val="FF0000"/>
              </w:rPr>
              <w:t>0</w:t>
            </w:r>
            <w:r w:rsidR="00DE3DFE">
              <w:rPr>
                <w:color w:val="FF0000"/>
              </w:rPr>
              <w:t>4</w:t>
            </w:r>
            <w:r w:rsidRPr="001E16EA">
              <w:rPr>
                <w:color w:val="FF0000"/>
              </w:rPr>
              <w:t>/20</w:t>
            </w:r>
            <w:r w:rsidR="001D7736">
              <w:rPr>
                <w:color w:val="FF0000"/>
              </w:rPr>
              <w:t>2</w:t>
            </w:r>
            <w:r w:rsidR="00634112">
              <w:rPr>
                <w:color w:val="FF0000"/>
              </w:rPr>
              <w:t>4</w:t>
            </w:r>
          </w:p>
          <w:p w14:paraId="4CFA4FC2" w14:textId="78492047" w:rsidR="00513E0D" w:rsidRDefault="00250F47" w:rsidP="000E473D">
            <w:pPr>
              <w:spacing w:after="0" w:line="240" w:lineRule="auto"/>
              <w:jc w:val="right"/>
              <w:rPr>
                <w:color w:val="FF0000"/>
              </w:rPr>
            </w:pPr>
            <w:r>
              <w:rPr>
                <w:color w:val="FF0000"/>
              </w:rPr>
              <w:t xml:space="preserve">Bài </w:t>
            </w:r>
            <w:r w:rsidR="001C5416">
              <w:rPr>
                <w:color w:val="FF0000"/>
              </w:rPr>
              <w:t>1</w:t>
            </w:r>
            <w:r w:rsidR="00F96EB7">
              <w:rPr>
                <w:color w:val="FF0000"/>
              </w:rPr>
              <w:t>2</w:t>
            </w:r>
          </w:p>
          <w:p w14:paraId="39D2A8AF" w14:textId="77777777" w:rsidR="00455EEC" w:rsidRPr="001E16EA" w:rsidRDefault="00455EEC" w:rsidP="00BF77D5">
            <w:pPr>
              <w:spacing w:after="0" w:line="240" w:lineRule="auto"/>
              <w:jc w:val="both"/>
            </w:pPr>
          </w:p>
        </w:tc>
      </w:tr>
    </w:tbl>
    <w:p w14:paraId="3A5DA239" w14:textId="77777777" w:rsidR="00B03CAE" w:rsidRPr="00B03CAE" w:rsidRDefault="00B03CAE" w:rsidP="00B03CAE">
      <w:pPr>
        <w:spacing w:before="120" w:after="120" w:line="340" w:lineRule="exact"/>
        <w:jc w:val="center"/>
        <w:rPr>
          <w:b/>
          <w:color w:val="7030A0"/>
          <w:szCs w:val="28"/>
          <w:lang w:val="vi-VN"/>
        </w:rPr>
      </w:pPr>
      <w:r w:rsidRPr="00B03CAE">
        <w:rPr>
          <w:b/>
          <w:color w:val="7030A0"/>
          <w:szCs w:val="28"/>
          <w:lang w:val="vi-VN"/>
        </w:rPr>
        <w:t>MỘT SỐ THÔNG TIN SINH HOẠT CHI BỘ</w:t>
      </w:r>
    </w:p>
    <w:p w14:paraId="352534E2" w14:textId="77777777" w:rsidR="00B03CAE" w:rsidRPr="00B03CAE" w:rsidRDefault="00B03CAE" w:rsidP="00B03CAE">
      <w:pPr>
        <w:spacing w:before="120" w:after="120" w:line="340" w:lineRule="exact"/>
        <w:ind w:firstLine="709"/>
        <w:jc w:val="both"/>
        <w:rPr>
          <w:b/>
          <w:szCs w:val="28"/>
          <w:lang w:val="vi-VN"/>
        </w:rPr>
      </w:pPr>
      <w:r w:rsidRPr="00B03CAE">
        <w:rPr>
          <w:b/>
          <w:szCs w:val="28"/>
          <w:lang w:val="vi-VN"/>
        </w:rPr>
        <w:t>1. Thực hiện cải cách chính sách tiền lương đối với cán bộ, công chức, viên chức, lực lượng vũ trang và người lao động trong doanh nghiệp</w:t>
      </w:r>
    </w:p>
    <w:p w14:paraId="6F6A8336"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 xml:space="preserve">Thủ tướng Chính phủ ban hành Quyết định 135/QĐ-TTg, ngày 31/01/2024 về Kế hoạch triển khai thực hiện cải cách chính sách tiền lương đối với cán bộ, công chức, viên chức, lực lượng vũ trang và người lao động trong doanh nghiệp, trong đó có một số nội dung chủ yếu sau: </w:t>
      </w:r>
    </w:p>
    <w:p w14:paraId="6438A8E6"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 xml:space="preserve">Đẩy mạnh công tác thông tin, tuyên truyền nhằm tạo đồng thuận xã hội, các ngành, các cấp, các cơ quan, tổ chức, đơn vị trong hệ thống chính trị về việc thực hiện cải cách chính sách tiền lương theo Nghị quyết số 27-NQ/TW khóa XII, Kết luận số 64-KL/TW và Nghị quyết số 104/2023/QH15; quán triệt thống nhất nhận thức, đồng thuận trong cán bộ, công chức, viên chức, người lao động về việc thực hiện cải cách chính sách tiền lương theo Nghị quyết số 27-NQ/TW. Báo cáo cấp có thẩm quyền thông qua danh mục vị trí việc làm cán bộ, công chức, viên chức trong hệ thống chính trị từ trung ương đến cấp xã. </w:t>
      </w:r>
    </w:p>
    <w:p w14:paraId="6CB46A2D"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Ban hành hoặc trình cấp có thẩm quyền ban hành Danh mục chức danh, chức vụ tương đương thuộc phạm vi quản lý để làm căn cứ thực hiện chính sách tiền lương mới, gồm: xây dựng Danh mục chức danh, chức vụ lãnh đạo, quản lý, chỉ huy trong lực lượng vũ trang; rà soát sắp xếp các chức danh, chức vụ theo phân cấp quản lý cán bộ bảo đảm đồng bộ, thống nhất với Danh mục Bộ Chính trị ban hành tại Kết luận số 35-KL/TW của Bộ Chính trị; bảo đảm kế thừa, ổn định trong tổ chức bộ máy; chỉ điều chuyển những vị trí thực sự bất hợp lý hoặc chưa được sắp xếp; một người đảm nhiệm nhiều chức vụ thì lấy chức vụ cao nhất để xác định chức danh tương đương.</w:t>
      </w:r>
    </w:p>
    <w:p w14:paraId="605A2C65"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 xml:space="preserve">Xây dựng Tờ trình về các nội dung cụ thể của chế độ tiền lương mới, tác động khi cải cách tiền lương đến chính sách bảo hiểm xã hội, trợ cấp ưu đãi người có công và trợ cấp xã hội; xây dựng và hoàn thiện các văn bản quy định về chế độ tiền lương mới đối với cán bộ, công chức, viên chức và lực lượng vũ trang, gồm: Xây dựng 3 bảng lương và phụ cấp đối với lực lượng vũ trang; hoàn thiện quy định về cơ chế quản lý tài chính đối với cơ quan hành chính và đơn vị sự nghiệp công lập cho phù hợp với chế độ tiền lương mới; xây dựng Nghị định của Chính phủ về chế độ tiền lương mới đối với cán bộ, công chức, viên chức và lực lượng vũ trang; xây dựng Quyết định của Ban Bí thư Trung ương Đảng về chế độ tiền lương mới đối với cán bộ, công chức, viên chức cơ quan Đảng, Mặt trận tổ quốc Việt Nam và các tổ chức chính trị - xã hội. </w:t>
      </w:r>
    </w:p>
    <w:p w14:paraId="7E65F5D4"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Xây dựng Nghị quyết của Ủy ban thường vụ Quốc hội về chế độ tiền lương mới đối với cán bộ, công chức, viên chức thuộc các cơ quan của Quốc hội, Hội đồng nhân dân cấp tỉnh, cấp huyện, các chuyên ngành Tòa án, Kiểm sát và Kiểm toán; xây dựng các văn bản hướng dẫn thực hiện chế độ tiền lương mới theo thẩm quyền được giao tại Quyết định của Ban Bí thư, Nghị quyết của Ủy ban thường vụ Quốc hội và Nghị định của Chính phủ về chế độ tiền lương mới.</w:t>
      </w:r>
    </w:p>
    <w:p w14:paraId="2894CFBC"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 xml:space="preserve">Xây dựng và hoàn thiện các văn bản quy định chính sách tiền lương mới đối với khu vực doanh nghiệp, gồm: Điều chỉnh mức lương tối thiểu vùng trên cơ sở khuyến nghị của Hội đồng Tiền lương quốc gia theo quy định của Bộ luật Lao động. Ban hành Nghị định về quản lý lao động, tiền lương, thù lao, tiền thưởng đối với doanh nghiệp nhà nước; tập huấn, hướng dẫn thực </w:t>
      </w:r>
      <w:r w:rsidRPr="00B03CAE">
        <w:rPr>
          <w:szCs w:val="28"/>
          <w:lang w:val="vi-VN"/>
        </w:rPr>
        <w:lastRenderedPageBreak/>
        <w:t xml:space="preserve">hiện các quy định tại Quyết định của Ban Bí thư, Nghị quyết của Ủy ban thường vụ Quốc hội và Nghị định của Chính phủ về chế độ tiền lương mới. </w:t>
      </w:r>
    </w:p>
    <w:p w14:paraId="6FF233BD"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 xml:space="preserve">Tiếp tục thực hiện việc sắp xếp tinh gọn tổ chức bộ máy, tinh giản biên chế hưởng lương từ ngân sách nhà nước, cơ cấu lại đội ngũ cán bộ, công chức, viên chức theo vị trí việc làm, chức danh và chức vụ lãnh đạo gắn với cải cách chính sách tiền lương theo tinh thần Nghị quyết số 18-NQ/TW, Nghị quyết số 19-NQ/TW của Hội nghị Trung ương 6 khóa XII và Nghị quyết số 27-NQ/TW của Hội nghị Trung ương 7 khóa XII. </w:t>
      </w:r>
    </w:p>
    <w:p w14:paraId="39B7CEB3" w14:textId="77777777" w:rsidR="00B03CAE" w:rsidRPr="00B03CAE" w:rsidRDefault="00B03CAE" w:rsidP="00B03CAE">
      <w:pPr>
        <w:spacing w:before="120" w:after="120" w:line="340" w:lineRule="exact"/>
        <w:ind w:firstLine="709"/>
        <w:jc w:val="both"/>
        <w:rPr>
          <w:szCs w:val="28"/>
          <w:lang w:val="vi-VN"/>
        </w:rPr>
      </w:pPr>
      <w:r w:rsidRPr="00B03CAE">
        <w:rPr>
          <w:b/>
          <w:szCs w:val="28"/>
          <w:lang w:val="vi-VN"/>
        </w:rPr>
        <w:t>2.</w:t>
      </w:r>
      <w:r w:rsidRPr="00B03CAE">
        <w:rPr>
          <w:szCs w:val="28"/>
          <w:lang w:val="vi-VN"/>
        </w:rPr>
        <w:t xml:space="preserve"> </w:t>
      </w:r>
      <w:r w:rsidRPr="00B03CAE">
        <w:rPr>
          <w:b/>
          <w:bCs/>
          <w:szCs w:val="28"/>
          <w:lang w:val="vi-VN"/>
        </w:rPr>
        <w:t>Đẩy mạnh triển khai đề án phát triển ứng dụng dữ liệu về dân cư, định danh và xác thực điện tử phục vụ chuyển đổi số quốc gia</w:t>
      </w:r>
    </w:p>
    <w:p w14:paraId="5B817860" w14:textId="77777777" w:rsidR="00B03CAE" w:rsidRPr="00B03CAE" w:rsidRDefault="00B03CAE" w:rsidP="00B03CAE">
      <w:pPr>
        <w:spacing w:before="120" w:after="120" w:line="340" w:lineRule="exact"/>
        <w:ind w:firstLine="709"/>
        <w:jc w:val="both"/>
        <w:rPr>
          <w:spacing w:val="-2"/>
          <w:szCs w:val="28"/>
          <w:lang w:val="vi-VN"/>
        </w:rPr>
      </w:pPr>
      <w:r w:rsidRPr="00B03CAE">
        <w:rPr>
          <w:spacing w:val="-2"/>
          <w:szCs w:val="28"/>
          <w:lang w:val="vi-VN"/>
        </w:rPr>
        <w:t>Thực hiện chủ trương, chính sách của Đảng và Nhà nước về phát triển hạ tầng thông tin, viễn thông, tạo nền tảng chuyển đổi số quốc gia, từng bước phát triển Chính phủ số, kinh tế số, xã hội số; để tiếp tục đẩy mạnh công tác triển khai, thực hiện Đề án 06 trong năm 2024, tạo tiền đề hoàn thành các mục tiêu của Chương trình chuyển đổi số quốc gia đến năm 2025, định hướng đến năm 2030, tại Chỉ thị số 04/CT-TTg, ngày 11/02/2024, Thủ tướng Chính phủ yêu cầu quán triệt và thực hiện đồng bộ, thống nhất, kịp thời, hiệu quả những nhiệm vụ, giải pháp trọng tâm sau:</w:t>
      </w:r>
    </w:p>
    <w:p w14:paraId="10F3E26E"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Bộ trưởng các bộ, Thủ trưởng cơ quan ngang bộ, cơ quan thuộc Chính phủ, Chủ tịch Ủy ban nhân dân tỉnh, thành phố trực thuộc trung ương tiếp tục duy trì quyết tâm chính trị cao trong công tác lãnh đạo, chỉ đạo triển khai thực hiện Đề án 06 tại cơ quan, địa phương mình trong năm 2024; tăng cường kiểm tra, giám sát, đôn đốc việc thực hiện các nhiệm vụ theo ngành, lĩnh vực; khẩn trương khắc phục những nhiệm vụ chậm tiến độ đã đề ra; tái cấu trúc quy trình nghiệp vụ, hoàn thành việc cung cấp dịch vụ công thiết yếu trên Cổng Dịch vụ công quốc gia, bảo đảm cắt giảm tối đa giấy tờ, thời gian đi lại và chi phí của người dân, doanh nghiệp; sửa đổi, bổ sung hoặc trình cấp có thẩm quyền sửa đổi, bổ sung văn bản quy phạm pháp luật theo kết quả rà soát văn bản phục vụ triển khai Đề án 06; phối hợp với Trung tâm dữ liệu quốc gia xây dựng phương án đồng bộ dữ liệu con người.</w:t>
      </w:r>
    </w:p>
    <w:p w14:paraId="77424A7C"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Xây dựng Luật bảo vệ dữ liệu cá nhân; cung cấp các tiện ích cho người dân, quản lý xã hội trên ứng dụng VNeID, đặc biệt là quản lý xã hội như tố giác tội phạm, phòng chống cháy nổ, an toàn giao thông, bảo vệ môi trường, khai báo tạm trú, tạm vắng; tích hợp ứng dụng VNeID với các dịch vụ cho người dân như dịch vụ ngân hàng, mua sắm, thanh toán, giáo dục, y tế, tiện ích cho đối tượng yếu thế; xây dựng Nghị định về 02 dịch vụ công liên thông “đăng ký khai sinh - đăng ký thường trú - cấp thẻ BHYT cho trẻ dưới 6 tuổi và đăng ký khai tử - xóa đăng ký thường trú trợ cấp mai táng phí” theo trình tự thủ tục rút gọn; nghiên cứu, xây dựng phương án cấp “Tài khoản an sinh xã hội” để mỗi người dân Việt Nam có tài khoản an sinh xã hội gắn với số định danh cá nhân trên ứng dụng VNeID được nhận chi trả an sinh xã hội qua tài khoản theo yêu cầu.</w:t>
      </w:r>
    </w:p>
    <w:p w14:paraId="45305D8C"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 xml:space="preserve">Hướng dẫn về đăng ký thuế đối với cá nhân khi triển khai sử dụng số định danh cá nhân thay cho mã số thuế; kết nối, chia sẻ dữ liệu giữa Cơ sở dữ liệu quốc gia về dân cư với các Cơ sở dữ liệu chuyên ngành nông nghiệp và phát triển nông thôn; kết nối, chia sẻ giữa Hệ thống thông tin nhà ở và thị trường bất động sản với Cơ sở dữ liệu đất đai quốc gia, cơ sở dữ liệu quốc gia về dân cư; xây dựng Hệ thống thông tin quốc gia về đất đai, kết nối với Cơ sở dữ liệu quốc gia về dân cư; nhân rộng triển khai ứng dụng xác thực thông tin sinh trắc trên Căn cước công dân gắn chip tại Bộ phận một cửa của Cơ quan bảo hiểm xã hội trên phạm vi toàn quốc; triển khai giải </w:t>
      </w:r>
      <w:r w:rsidRPr="00B03CAE">
        <w:rPr>
          <w:szCs w:val="28"/>
          <w:lang w:val="vi-VN"/>
        </w:rPr>
        <w:lastRenderedPageBreak/>
        <w:t>pháp bảo đảm an toàn, xác thực và bảo mật thông tin dùng mật mã, dịch vụ chứng thực chữ ký số chuyên dùng công vụ.</w:t>
      </w:r>
    </w:p>
    <w:p w14:paraId="6B81B047" w14:textId="77777777" w:rsidR="00B03CAE" w:rsidRPr="00B03CAE" w:rsidRDefault="00B03CAE" w:rsidP="00B03CAE">
      <w:pPr>
        <w:spacing w:before="120" w:after="120" w:line="340" w:lineRule="exact"/>
        <w:ind w:firstLine="709"/>
        <w:jc w:val="both"/>
        <w:rPr>
          <w:szCs w:val="28"/>
          <w:lang w:val="vi-VN"/>
        </w:rPr>
      </w:pPr>
      <w:r w:rsidRPr="00B03CAE">
        <w:rPr>
          <w:szCs w:val="28"/>
          <w:lang w:val="vi-VN"/>
        </w:rPr>
        <w:t>Ủy ban nhân dân các tỉnh, thành phố trực thuộc Trung ương tập trung phối hợp với các cơ quan liên quan thúc đẩy cấp tài khoản an sinh xã hội cho các đối tượng hưởng chính sách chưa có tài khoản; chỉ đạo chi trả trợ cấp an sinh xã hội không dùng tiền mặt cho 100% người dân đã có tài khoản; chủ trì, phối hợp Bộ Công an, Bộ Thông tin và Truyền thông triển khai đào tạo tập huấn cho đội ngũ cán bộ, công chức, viên chức địa phương về an ninh an toàn thông tin; tổ chức xây dựng cơ sở dữ liệu đất đai trong phạm vi địa phương, bảo đảm kết nối, tích hợp, liên thông với Cơ sở dữ liệu quốc gia về đất đai và Cơ sở dữ liệu quốc gia về dân cư; triển khai các mô hình, giải pháp ứng dụng tiện ích từ nền tảng Cơ sở dữ liệu quốc gia về dân cư, Căn cước công dân và định danh điện tử; đẩy nhanh tiến độ số hóa dữ liệu, đặc biệt đối với các lĩnh vực hộ tịch, đất đai, lao động việc làm.</w:t>
      </w:r>
    </w:p>
    <w:p w14:paraId="69548DA0" w14:textId="77777777" w:rsidR="00B03CAE" w:rsidRPr="00B03CAE" w:rsidRDefault="00B03CAE" w:rsidP="00B03CAE">
      <w:pPr>
        <w:spacing w:before="120" w:after="120" w:line="340" w:lineRule="exact"/>
        <w:ind w:firstLine="709"/>
        <w:jc w:val="both"/>
        <w:rPr>
          <w:szCs w:val="28"/>
        </w:rPr>
      </w:pPr>
      <w:r w:rsidRPr="00B03CAE">
        <w:rPr>
          <w:b/>
          <w:szCs w:val="28"/>
          <w:lang w:val="vi-VN"/>
        </w:rPr>
        <w:t>3</w:t>
      </w:r>
      <w:r w:rsidRPr="00B03CAE">
        <w:rPr>
          <w:b/>
          <w:szCs w:val="28"/>
        </w:rPr>
        <w:t>.</w:t>
      </w:r>
      <w:r w:rsidRPr="00B03CAE">
        <w:rPr>
          <w:szCs w:val="28"/>
        </w:rPr>
        <w:t xml:space="preserve"> </w:t>
      </w:r>
      <w:r w:rsidRPr="00B03CAE">
        <w:rPr>
          <w:b/>
          <w:bCs/>
          <w:iCs/>
          <w:szCs w:val="28"/>
        </w:rPr>
        <w:t>Thúc đẩy quan hệ Việt Nam - Australia</w:t>
      </w:r>
    </w:p>
    <w:p w14:paraId="6BCA1A73" w14:textId="77777777" w:rsidR="00B03CAE" w:rsidRPr="00B03CAE" w:rsidRDefault="00B03CAE" w:rsidP="00B03CAE">
      <w:pPr>
        <w:widowControl w:val="0"/>
        <w:spacing w:before="120" w:after="120" w:line="340" w:lineRule="exact"/>
        <w:ind w:firstLine="720"/>
        <w:jc w:val="both"/>
        <w:rPr>
          <w:iCs/>
          <w:szCs w:val="28"/>
        </w:rPr>
      </w:pPr>
      <w:r w:rsidRPr="00B03CAE">
        <w:rPr>
          <w:i/>
          <w:szCs w:val="28"/>
        </w:rPr>
        <w:t>Nhận lời mời của Thủ tướng Australia Anthony Albanese, Thủ tướng Chính phủ Phạm Minh Chính và Phu nhân cùng Đoàn đại biểu cấp cao Chính phủ Việt Nam thăm chính thức Australia từ ngày 07 - 09/3/2024.</w:t>
      </w:r>
    </w:p>
    <w:p w14:paraId="43659A20" w14:textId="77777777" w:rsidR="00B03CAE" w:rsidRPr="00B03CAE" w:rsidRDefault="00B03CAE" w:rsidP="00B03CAE">
      <w:pPr>
        <w:widowControl w:val="0"/>
        <w:spacing w:before="120" w:after="120" w:line="340" w:lineRule="exact"/>
        <w:ind w:firstLine="720"/>
        <w:jc w:val="both"/>
        <w:rPr>
          <w:iCs/>
          <w:szCs w:val="28"/>
        </w:rPr>
      </w:pPr>
      <w:r w:rsidRPr="00B03CAE">
        <w:rPr>
          <w:iCs/>
          <w:szCs w:val="28"/>
        </w:rPr>
        <w:t>Đây là lần đầu tiên Thủ tướng Chính phủ Phạm Minh Chính thăm chính thức Australia. Chuyến thăm có ý nghĩa quan trọng, ghi dấu mốc mới trong quan hệ hai nước sau hơn 50 năm thiết lập quan hệ ngoại giao. Tại cuộc hội đàm với Thủ tướng</w:t>
      </w:r>
      <w:r w:rsidRPr="00B03CAE">
        <w:rPr>
          <w:iCs/>
          <w:strike/>
          <w:szCs w:val="28"/>
        </w:rPr>
        <w:t xml:space="preserve"> </w:t>
      </w:r>
      <w:r w:rsidRPr="00B03CAE">
        <w:rPr>
          <w:iCs/>
          <w:szCs w:val="28"/>
        </w:rPr>
        <w:t xml:space="preserve">Australia Anthony Albanese, hai nhà lãnh đạo bày tỏ hài lòng trước sự phát triển mạnh mẽ của quan hệ hữu nghị và Đối tác Chiến lược hai nước. Đặc biệt, Việt Nam và Australia nhất trí nâng cấp quan hệ lên Đối tác Chiến lược toàn diện. Chính phủ hai nước cam kết tiếp tục phát triển quan hệ trên tất cả các lĩnh vực và thúc đẩy mối quan hệ được nâng cấp trên cơ sở tôn trọng luật pháp quốc tế, chủ quyền, độc lập, toàn vẹn lãnh thổ, tôn trọng hệ thống chính trị của mỗi nước. Tuyên bố chung về việc nâng cấp quan hệ giữa hai nước đề ra các phương hướng lớn nhằm đưa hợp tác trên các lĩnh vực đi vào chiều sâu, hiệu quả, thực chất hơn, đó là: </w:t>
      </w:r>
    </w:p>
    <w:p w14:paraId="2BD68A47" w14:textId="77777777" w:rsidR="00B03CAE" w:rsidRPr="00B03CAE" w:rsidRDefault="00B03CAE" w:rsidP="00B03CAE">
      <w:pPr>
        <w:widowControl w:val="0"/>
        <w:spacing w:before="120" w:after="120" w:line="340" w:lineRule="exact"/>
        <w:ind w:firstLine="720"/>
        <w:jc w:val="both"/>
        <w:rPr>
          <w:iCs/>
          <w:szCs w:val="28"/>
        </w:rPr>
      </w:pPr>
      <w:r w:rsidRPr="00B03CAE">
        <w:rPr>
          <w:i/>
          <w:szCs w:val="28"/>
        </w:rPr>
        <w:t>Thứ nhất</w:t>
      </w:r>
      <w:r w:rsidRPr="00B03CAE">
        <w:rPr>
          <w:iCs/>
          <w:szCs w:val="28"/>
        </w:rPr>
        <w:t xml:space="preserve">, làm sâu sắc hơn hợp tác chính trị, quốc phòng, </w:t>
      </w:r>
      <w:proofErr w:type="gramStart"/>
      <w:r w:rsidRPr="00B03CAE">
        <w:rPr>
          <w:iCs/>
          <w:szCs w:val="28"/>
        </w:rPr>
        <w:t>an</w:t>
      </w:r>
      <w:proofErr w:type="gramEnd"/>
      <w:r w:rsidRPr="00B03CAE">
        <w:rPr>
          <w:iCs/>
          <w:szCs w:val="28"/>
        </w:rPr>
        <w:t xml:space="preserve"> ninh và tư pháp giữa hai nước. Theo đó, Việt Nam và Australia nhất trí tăng cường trao đổi đoàn và tiếp xúc cấp cao; duy trì các cơ chế hợp tác song phương; nâng cấp hợp tác gìn giữ hòa bình lên Đối tác Gìn giữ hòa bình và nâng cấp Đối thoại an ninh cấp thứ trưởng hiện nay lên cấp bộ trưởng. Hai bên cam kết thúc đẩy hợp tác thực thi pháp luật, hợp tác tình báo thông qua hợp tác chặt chẽ hơn giữa lực lượng cảnh sát, cơ quan hàng hải và biên giới của hai nước; mở rộng hợp tác trong các lĩnh vực, như: công nghiệp quốc phòng, </w:t>
      </w:r>
      <w:proofErr w:type="gramStart"/>
      <w:r w:rsidRPr="00B03CAE">
        <w:rPr>
          <w:iCs/>
          <w:szCs w:val="28"/>
        </w:rPr>
        <w:t>an</w:t>
      </w:r>
      <w:proofErr w:type="gramEnd"/>
      <w:r w:rsidRPr="00B03CAE">
        <w:rPr>
          <w:iCs/>
          <w:szCs w:val="28"/>
        </w:rPr>
        <w:t xml:space="preserve"> ninh hàng hải, chia sẻ thông tin và tình báo.</w:t>
      </w:r>
    </w:p>
    <w:p w14:paraId="608398A9" w14:textId="77777777" w:rsidR="00B03CAE" w:rsidRPr="00B03CAE" w:rsidRDefault="00B03CAE" w:rsidP="00B03CAE">
      <w:pPr>
        <w:widowControl w:val="0"/>
        <w:spacing w:before="120" w:after="120" w:line="340" w:lineRule="exact"/>
        <w:ind w:firstLine="720"/>
        <w:jc w:val="both"/>
        <w:rPr>
          <w:iCs/>
          <w:szCs w:val="28"/>
        </w:rPr>
      </w:pPr>
      <w:r w:rsidRPr="00B03CAE">
        <w:rPr>
          <w:i/>
          <w:szCs w:val="28"/>
        </w:rPr>
        <w:t>Thứ hai,</w:t>
      </w:r>
      <w:r w:rsidRPr="00B03CAE">
        <w:rPr>
          <w:iCs/>
          <w:szCs w:val="28"/>
        </w:rPr>
        <w:t xml:space="preserve"> thúc đẩy gắn kết kinh tế. Việt Nam và Australia cam kết làm sâu sắc hơn mối quan hệ thương mại và đầu tư song phương, tăng cường hợp tác kinh tế, thương mại, đầu tư bao trùm, thực chất, hiệu quả hơn; </w:t>
      </w:r>
      <w:r w:rsidRPr="00B03CAE">
        <w:rPr>
          <w:szCs w:val="28"/>
        </w:rPr>
        <w:t>công nhận nhu cầu xây dựng chuỗi cung ứng bền vững và hướng tới đa dạng hóa thương mại để tăng cường năng lực chống chịu của nền kinh tế. Hai bên tái khẳng định cam kết thực hiện đầy đủ và hiệu quả Chiến lược tăng cường hợp tác kinh tế Việt Nam - Australia, bổ trợ bằng việc triển khai Chiến lược kinh tế Đông Nam Á tới năm 2040 của Australia.</w:t>
      </w:r>
    </w:p>
    <w:p w14:paraId="3384878D" w14:textId="77777777" w:rsidR="00B03CAE" w:rsidRPr="00B03CAE" w:rsidRDefault="00B03CAE" w:rsidP="00B03CAE">
      <w:pPr>
        <w:widowControl w:val="0"/>
        <w:spacing w:before="120" w:after="120" w:line="340" w:lineRule="exact"/>
        <w:ind w:firstLine="720"/>
        <w:jc w:val="both"/>
        <w:rPr>
          <w:szCs w:val="28"/>
        </w:rPr>
      </w:pPr>
      <w:r w:rsidRPr="00B03CAE">
        <w:rPr>
          <w:i/>
          <w:szCs w:val="28"/>
        </w:rPr>
        <w:t>Thứ ba,</w:t>
      </w:r>
      <w:r w:rsidRPr="00B03CAE">
        <w:rPr>
          <w:iCs/>
          <w:szCs w:val="28"/>
        </w:rPr>
        <w:t xml:space="preserve"> xây dựng tri thức và kết nối nhân dân. Việt Nam và Australia </w:t>
      </w:r>
      <w:r w:rsidRPr="00B03CAE">
        <w:rPr>
          <w:szCs w:val="28"/>
        </w:rPr>
        <w:t xml:space="preserve">công nhận vai trò then chốt của giao lưu nhân dân; tăng cường hợp tác giáo dục và đào tạo thông qua đối thoại, cơ </w:t>
      </w:r>
      <w:r w:rsidRPr="00B03CAE">
        <w:rPr>
          <w:szCs w:val="28"/>
        </w:rPr>
        <w:lastRenderedPageBreak/>
        <w:t xml:space="preserve">chế hợp tác, liên kết thể chế; tái khẳng định cam kết thúc đẩy và bảo vệ quyền con người phù hợp với luật pháp quốc tế và duy trì đối thoại chân thành, thẳng thắn và xây dựng. Hai bên thừa nhận tầm quan trọng của hợp tác văn hóa trong việc làm sâu sắc hơn giao lưu nhân dân giữa 2 nước và sẽ tìm kiếm những cơ hội để tăng cường trao đổi và hợp tác văn hóa thông qua các loại hình nghệ thuật và các viện bảo tồn văn hóa. </w:t>
      </w:r>
    </w:p>
    <w:p w14:paraId="7E51053C" w14:textId="77777777" w:rsidR="00B03CAE" w:rsidRPr="00B03CAE" w:rsidRDefault="00B03CAE" w:rsidP="00B03CAE">
      <w:pPr>
        <w:widowControl w:val="0"/>
        <w:spacing w:before="120" w:after="120" w:line="340" w:lineRule="exact"/>
        <w:ind w:firstLine="720"/>
        <w:jc w:val="both"/>
        <w:rPr>
          <w:szCs w:val="28"/>
        </w:rPr>
      </w:pPr>
      <w:r w:rsidRPr="00B03CAE">
        <w:rPr>
          <w:i/>
          <w:iCs/>
          <w:szCs w:val="28"/>
        </w:rPr>
        <w:t>Thứ tư,</w:t>
      </w:r>
      <w:r w:rsidRPr="00B03CAE">
        <w:rPr>
          <w:szCs w:val="28"/>
        </w:rPr>
        <w:t xml:space="preserve"> tăng cường hợp tác về khí hậu, môi trường và năng lượng. </w:t>
      </w:r>
      <w:r w:rsidRPr="00B03CAE">
        <w:rPr>
          <w:iCs/>
          <w:szCs w:val="28"/>
        </w:rPr>
        <w:t xml:space="preserve">Việt Nam và Australia </w:t>
      </w:r>
      <w:r w:rsidRPr="00B03CAE">
        <w:rPr>
          <w:szCs w:val="28"/>
        </w:rPr>
        <w:t xml:space="preserve">tiếp tục hợp tác trong lĩnh vực thích ứng với biến đổi khí hậu và tăng khả năng chống chịu của môi trường, nông nghiệp thích ứng với khí hậu, bảo tồn đa dạng sinh học, khoa học biển cho phát triển bền vững, giảm ô nhiễm nhựa, </w:t>
      </w:r>
      <w:proofErr w:type="gramStart"/>
      <w:r w:rsidRPr="00B03CAE">
        <w:rPr>
          <w:szCs w:val="28"/>
        </w:rPr>
        <w:t>an</w:t>
      </w:r>
      <w:proofErr w:type="gramEnd"/>
      <w:r w:rsidRPr="00B03CAE">
        <w:rPr>
          <w:szCs w:val="28"/>
        </w:rPr>
        <w:t xml:space="preserve"> ninh lương thực và nguồn nước, đặc biệt là ở khu vực Mekong, bao gồm thông qua cơ chế Đối tác Mekong - Australia. Hai bên tiếp tục mở rộng hợp tác trong lĩnh vực năng lượng và tài nguyên; tiếp tục phát triển chuỗi cung ứng năng lượng tái tạo mới nổi, bền vững, đa dạng thông qua tích hợp giải pháp công nghệ giúp cả hai nước đạt được mục tiêu phát thải ròng bằng 0.</w:t>
      </w:r>
    </w:p>
    <w:p w14:paraId="0542C6E9" w14:textId="77777777" w:rsidR="00B03CAE" w:rsidRPr="00B03CAE" w:rsidRDefault="00B03CAE" w:rsidP="00B03CAE">
      <w:pPr>
        <w:widowControl w:val="0"/>
        <w:spacing w:before="120" w:after="120" w:line="340" w:lineRule="exact"/>
        <w:ind w:firstLine="720"/>
        <w:jc w:val="both"/>
        <w:rPr>
          <w:iCs/>
          <w:szCs w:val="28"/>
        </w:rPr>
      </w:pPr>
      <w:r w:rsidRPr="00B03CAE">
        <w:rPr>
          <w:i/>
          <w:szCs w:val="28"/>
        </w:rPr>
        <w:t>Thứ năm</w:t>
      </w:r>
      <w:r w:rsidRPr="00B03CAE">
        <w:rPr>
          <w:iCs/>
          <w:szCs w:val="28"/>
        </w:rPr>
        <w:t xml:space="preserve">, hỗ trợ khoa học, công nghệ, đổi mới sáng tạo và chuyển đổi số. Việt Nam và Australia </w:t>
      </w:r>
      <w:r w:rsidRPr="00B03CAE">
        <w:rPr>
          <w:szCs w:val="28"/>
        </w:rPr>
        <w:t>sẽ tăng cường hợp tác xây dựng năng lực trong các lĩnh vực khoa học, công nghệ và đổi mới sáng tạo hướng tới sự phát triển bền vững và bao trùm của hệ thống nghiên cứu và đổi mới sáng tạo quốc gia của Việt Nam. Hợp tác sâu sắc trong lĩnh vực chuyển đổi số và hội nhập kỹ thuật số; hai bên tái khẳng định cam kết chia sẻ kinh nghiệm hỗ trợ Việt Nam và Australia nhằm tăng cường chuyển đổi chính phủ số và đạt được các mục tiêu của chính phủ số.</w:t>
      </w:r>
    </w:p>
    <w:p w14:paraId="6DD592B6" w14:textId="77777777" w:rsidR="00B03CAE" w:rsidRPr="00B03CAE" w:rsidRDefault="00B03CAE" w:rsidP="00B03CAE">
      <w:pPr>
        <w:widowControl w:val="0"/>
        <w:spacing w:before="120" w:after="120" w:line="340" w:lineRule="exact"/>
        <w:ind w:firstLine="720"/>
        <w:jc w:val="both"/>
        <w:rPr>
          <w:iCs/>
          <w:szCs w:val="28"/>
        </w:rPr>
      </w:pPr>
      <w:r w:rsidRPr="00B03CAE">
        <w:rPr>
          <w:i/>
          <w:szCs w:val="28"/>
        </w:rPr>
        <w:t>Thứ sáu,</w:t>
      </w:r>
      <w:r w:rsidRPr="00B03CAE">
        <w:rPr>
          <w:iCs/>
          <w:szCs w:val="28"/>
        </w:rPr>
        <w:t xml:space="preserve"> củng cố hợp tác khu vực và quốc tế. Việt Nam và Australia nhất trí tiếp tục ủng hộ lẫn nhau và hợp tác chặt chẽ tại các diễn đàn khu vực và quốc tế, nhất là Liên hợp quốc, ASEAN và các cơ chế do ASEAN dẫn dắt; ủng hộ thượng tôn pháp luật quốc tế ở khu vực và giải quyết tranh chấp tại Biển Đông bằng các biện pháp hòa bình, phù hợp với luật pháp quốc tế, đặc biệt là Công ước Liên hợp quốc về Luật Biển năm 1982 (UNCLOS 1982). Hai bên cam kết tiếp tục hợp tác lâu dài để hỗ trợ sự hội nhập và phát triển bền vững của tiểu vùng.</w:t>
      </w:r>
    </w:p>
    <w:p w14:paraId="356A478E" w14:textId="77777777" w:rsidR="00B03CAE" w:rsidRPr="00B03CAE" w:rsidRDefault="00B03CAE" w:rsidP="00B03CAE">
      <w:pPr>
        <w:widowControl w:val="0"/>
        <w:spacing w:before="120" w:after="120" w:line="340" w:lineRule="exact"/>
        <w:ind w:firstLine="720"/>
        <w:jc w:val="both"/>
        <w:rPr>
          <w:iCs/>
          <w:spacing w:val="-2"/>
          <w:szCs w:val="28"/>
        </w:rPr>
      </w:pPr>
      <w:r w:rsidRPr="00B03CAE">
        <w:rPr>
          <w:iCs/>
          <w:spacing w:val="-2"/>
          <w:szCs w:val="28"/>
        </w:rPr>
        <w:t>Cũng trong khuôn khổ chuyến thăm, Thủ tướng Australia Anthony Albanese và Thủ tướng Phạm Minh Chính chứng kiến lễ ký kết và trao 11 văn kiện hợp tác giữa hai nước trong các lĩnh vực: giáo dục, đào tạo; năng lượng và khoáng sản; nông, lâm, ngư nghiệp; khoa học, công nghệ và đổi mới sáng tạo; lao động, việc làm; thương mại, đầu tư, tài chính, ngân hàng; quốc phòng và gìn giữ hòa bình; tư pháp.</w:t>
      </w:r>
    </w:p>
    <w:p w14:paraId="4947DABE" w14:textId="77777777" w:rsidR="00B03CAE" w:rsidRPr="00B03CAE" w:rsidRDefault="00B03CAE" w:rsidP="00B03CAE">
      <w:pPr>
        <w:widowControl w:val="0"/>
        <w:spacing w:before="120" w:after="120" w:line="340" w:lineRule="exact"/>
        <w:ind w:firstLine="720"/>
        <w:jc w:val="both"/>
        <w:rPr>
          <w:iCs/>
          <w:spacing w:val="-2"/>
          <w:szCs w:val="28"/>
        </w:rPr>
      </w:pPr>
      <w:r w:rsidRPr="00B03CAE">
        <w:rPr>
          <w:b/>
          <w:iCs/>
          <w:spacing w:val="-2"/>
          <w:szCs w:val="28"/>
          <w:lang w:val="vi-VN"/>
        </w:rPr>
        <w:t>4</w:t>
      </w:r>
      <w:r w:rsidRPr="00B03CAE">
        <w:rPr>
          <w:b/>
          <w:iCs/>
          <w:spacing w:val="-2"/>
          <w:szCs w:val="28"/>
        </w:rPr>
        <w:t>.</w:t>
      </w:r>
      <w:r w:rsidRPr="00B03CAE">
        <w:rPr>
          <w:iCs/>
          <w:spacing w:val="-2"/>
          <w:szCs w:val="28"/>
        </w:rPr>
        <w:t xml:space="preserve"> </w:t>
      </w:r>
      <w:r w:rsidRPr="00B03CAE">
        <w:rPr>
          <w:b/>
          <w:bCs/>
          <w:iCs/>
          <w:szCs w:val="28"/>
        </w:rPr>
        <w:t>Thúc đẩy quan hệ Việt Nam - New Zealand</w:t>
      </w:r>
    </w:p>
    <w:p w14:paraId="649F81CA" w14:textId="77777777" w:rsidR="00B03CAE" w:rsidRPr="00B03CAE" w:rsidRDefault="00B03CAE" w:rsidP="00B03CAE">
      <w:pPr>
        <w:spacing w:before="120" w:after="120" w:line="340" w:lineRule="exact"/>
        <w:ind w:firstLine="720"/>
        <w:jc w:val="both"/>
        <w:outlineLvl w:val="1"/>
        <w:rPr>
          <w:rFonts w:eastAsia="Times New Roman"/>
          <w:i/>
          <w:iCs/>
          <w:szCs w:val="28"/>
        </w:rPr>
      </w:pPr>
      <w:r w:rsidRPr="00B03CAE">
        <w:rPr>
          <w:rFonts w:eastAsia="Times New Roman"/>
          <w:i/>
          <w:iCs/>
          <w:szCs w:val="28"/>
        </w:rPr>
        <w:t>Nhận lời mời của Thủ tướng New Zealand Christopher Luxon, Thủ tướng Chính phủ Việt Nam Phạm Minh Chính thăm chính thức New Zealand từ ngày 09 -11/3/2024.</w:t>
      </w:r>
    </w:p>
    <w:p w14:paraId="56430942" w14:textId="77777777" w:rsidR="00B03CAE" w:rsidRPr="00B03CAE" w:rsidRDefault="00B03CAE" w:rsidP="00B03CAE">
      <w:pPr>
        <w:pStyle w:val="NormalWeb"/>
        <w:spacing w:before="120" w:beforeAutospacing="0" w:after="120" w:afterAutospacing="0" w:line="340" w:lineRule="exact"/>
        <w:ind w:firstLine="720"/>
        <w:jc w:val="both"/>
        <w:rPr>
          <w:color w:val="0070C0"/>
          <w:sz w:val="28"/>
          <w:szCs w:val="28"/>
        </w:rPr>
      </w:pPr>
      <w:r w:rsidRPr="00B03CAE">
        <w:rPr>
          <w:color w:val="0070C0"/>
          <w:sz w:val="28"/>
          <w:szCs w:val="28"/>
        </w:rPr>
        <w:t>Tại hội đàm, hai Thủ tướng tái khẳng định mối quan hệ hữu nghị và Đối tác Chiến lược sâu sắc, bền chặt giữa Việt Nam và New Zealand, được củng cố bằng giao lưu nhân dân mạnh mẽ và hợp tác chặt chẽ trong các lĩnh vực chính trị - ngoại giao, kinh tế - thương mại - đầu tư, giáo dục, lao động, khoa học và công nghệ.</w:t>
      </w:r>
    </w:p>
    <w:p w14:paraId="64C711E0" w14:textId="77777777" w:rsidR="00B03CAE" w:rsidRPr="00B03CAE" w:rsidRDefault="00B03CAE" w:rsidP="00B03CAE">
      <w:pPr>
        <w:pStyle w:val="NormalWeb"/>
        <w:spacing w:before="120" w:beforeAutospacing="0" w:after="120" w:afterAutospacing="0" w:line="340" w:lineRule="exact"/>
        <w:ind w:firstLine="720"/>
        <w:jc w:val="both"/>
        <w:rPr>
          <w:color w:val="0070C0"/>
          <w:sz w:val="28"/>
          <w:szCs w:val="28"/>
        </w:rPr>
      </w:pPr>
      <w:r w:rsidRPr="00B03CAE">
        <w:rPr>
          <w:color w:val="0070C0"/>
          <w:sz w:val="28"/>
          <w:szCs w:val="28"/>
        </w:rPr>
        <w:t xml:space="preserve">Thủ tướng Christopher Luxon đánh giá quan hệ hai nước đã được tiếp thêm xung lực mới kể từ khi được nâng cấp lên Đối tác Chiến lược vào năm 2020; khẳng định Việt Nam là một trong những đối tác quan trọng của New Zealand ở khu vực Đông Nam Á, một trong những nền kinh </w:t>
      </w:r>
      <w:r w:rsidRPr="00B03CAE">
        <w:rPr>
          <w:color w:val="0070C0"/>
          <w:sz w:val="28"/>
          <w:szCs w:val="28"/>
        </w:rPr>
        <w:lastRenderedPageBreak/>
        <w:t>tế phát triển nhanh nhất thế giới và là đối tác thương mại lớn thứ 14 của New Zealand. Hai bên đã thảo luận các cơ hội để gia tăng nhanh chóng kim ngạch thương mại hai chiều, hướng tới mục tiêu 3 tỷ USD vào năm 2026 thông qua tăng cường hợp tác du lịch và giáo dục cũng như dỡ bỏ các hàng rào phi thuế quan, đẩy mạnh các hoạt động xúc tiến thương mại, thực hiện đầy đủ các hiệp định thương mại tự do hiện có, đồng thời nghiên cứu các biện pháp để tạo thuận lợi cho đầu tư hai chiều.</w:t>
      </w:r>
    </w:p>
    <w:p w14:paraId="4405A39A" w14:textId="77777777" w:rsidR="00B03CAE" w:rsidRPr="00B03CAE" w:rsidRDefault="00B03CAE" w:rsidP="00B03CAE">
      <w:pPr>
        <w:pStyle w:val="NormalWeb"/>
        <w:spacing w:before="120" w:beforeAutospacing="0" w:after="120" w:afterAutospacing="0" w:line="340" w:lineRule="exact"/>
        <w:ind w:firstLine="720"/>
        <w:jc w:val="both"/>
        <w:rPr>
          <w:color w:val="0070C0"/>
          <w:sz w:val="28"/>
          <w:szCs w:val="28"/>
        </w:rPr>
      </w:pPr>
      <w:r w:rsidRPr="00B03CAE">
        <w:rPr>
          <w:color w:val="0070C0"/>
          <w:sz w:val="28"/>
          <w:szCs w:val="28"/>
        </w:rPr>
        <w:t xml:space="preserve">Thủ tướng Christopher Luxon công bố khoản viện trợ mới trị giá 6,24 triệu đô la New Zealand cho lĩnh vực nông nghiệp của Việt Nam đối với "Dự án phát triển giống cây ăn quả chất lượng cao (VietFruit)" giai đoạn 3, một hợp tác của Viện Nghiên cứu cây trồng và thực phẩm New Zealand với Việt Nam nhằm thúc đẩy ngành công nghiệp cây chanh leo của Việt Nam. </w:t>
      </w:r>
    </w:p>
    <w:p w14:paraId="276233FF" w14:textId="77777777" w:rsidR="00B03CAE" w:rsidRPr="00B03CAE" w:rsidRDefault="00B03CAE" w:rsidP="00B03CAE">
      <w:pPr>
        <w:pStyle w:val="NormalWeb"/>
        <w:spacing w:before="120" w:beforeAutospacing="0" w:after="120" w:afterAutospacing="0" w:line="340" w:lineRule="exact"/>
        <w:ind w:firstLine="720"/>
        <w:jc w:val="both"/>
        <w:rPr>
          <w:color w:val="0070C0"/>
          <w:sz w:val="28"/>
          <w:szCs w:val="28"/>
        </w:rPr>
      </w:pPr>
      <w:r w:rsidRPr="00B03CAE">
        <w:rPr>
          <w:color w:val="0070C0"/>
          <w:sz w:val="28"/>
          <w:szCs w:val="28"/>
        </w:rPr>
        <w:t>Hai Thủ tướng hoan nghênh Kế hoạch hợp tác chiến lược về giáo dục Việt Nam - New Zealand giai đoạn 2023 - 2026, tạo điều kiện cho việc hợp tác liên kết giữa các cơ sở đào tạo cấp đại học giữa hai nước, hỗ trợ Việt Nam cải tiến các mô hình giáo dục thông qua các phương tiện kỹ thuật số, cũng như thiết lập mạng lưới cựu sinh viên. Hoan nghênh việc tăng cường hợp tác trong các lĩnh vực khác; đánh giá cao việc hai bên ký các thỏa thuận hợp tác về kinh tế - thương mại và tài chính và tiến hành các cơ chế đối thoại an ninh và quốc phòng nhân dịp này. Nhất trí tiến hành Đối thoại Biển song phương lần đầu tiên trong năm 2024 về luật pháp quốc tế, quản trị và bảo tồn biển. Nhắc lại quyết tâm của hai nước về tuân thủ luật pháp quốc tế, bao gồm Hiến chương Liên hợp quốc và Công ước Liên hợp quốc về Luật Biển 1982; cam kết hợp tác với nhau và với các đối tác quốc tế khác để đóng góp cho hòa bình, ổn định và thịnh vượng của khu vực Ấn Độ Dương - Thái Bình Dương và trên thế giới, trong đó có Biển Đông.</w:t>
      </w:r>
    </w:p>
    <w:p w14:paraId="1EC5DA2E" w14:textId="7D718A6F" w:rsidR="007271EA" w:rsidRPr="00B03CAE" w:rsidRDefault="00B03CAE" w:rsidP="00B03CAE">
      <w:pPr>
        <w:shd w:val="clear" w:color="auto" w:fill="FFFFFF"/>
        <w:spacing w:before="120" w:after="120" w:line="340" w:lineRule="exact"/>
        <w:ind w:firstLine="720"/>
        <w:jc w:val="both"/>
        <w:rPr>
          <w:rFonts w:eastAsia="Times New Roman"/>
          <w:spacing w:val="-2"/>
          <w:szCs w:val="28"/>
          <w:lang w:val="vi-VN"/>
        </w:rPr>
      </w:pPr>
      <w:r w:rsidRPr="00B03CAE">
        <w:rPr>
          <w:szCs w:val="28"/>
        </w:rPr>
        <w:t>Thủ tướng Chính phủ Phạm Minh Chính bày tỏ hài lòng việc triển khai Chương trình Hành động Đối tác Chiến lược giai đoạn 2021 - 2024 đạt được nhiều kết quả tích cực trong các lĩnh vực kinh tế - thương mại, quốc phòng, an ninh, giáo dục, lao động…; đề nghị tăng cường trao đổi các chuyến thăm và tiếp xúc cấp cao, tích cực triển khai các cơ chế hợp tác song phương hiện có, tạo cơ sở cho việc nâng cấp quan hệ lên tầm cao mới trong thời gian tới</w:t>
      </w:r>
      <w:r w:rsidR="00FB45FB" w:rsidRPr="00B03CAE">
        <w:rPr>
          <w:rFonts w:eastAsia="Times New Roman"/>
          <w:szCs w:val="28"/>
          <w:lang w:val="vi-VN"/>
        </w:rPr>
        <w:t>.</w:t>
      </w:r>
    </w:p>
    <w:p w14:paraId="43F7F4FA" w14:textId="77777777" w:rsidR="00276C42" w:rsidRPr="00391D66" w:rsidRDefault="00276C42" w:rsidP="00276C42">
      <w:pPr>
        <w:widowControl w:val="0"/>
        <w:spacing w:before="120" w:after="120" w:line="360" w:lineRule="exact"/>
        <w:jc w:val="both"/>
        <w:rPr>
          <w:bCs/>
          <w:color w:val="002060"/>
          <w:spacing w:val="2"/>
          <w:szCs w:val="28"/>
          <w:lang w:val="vi-VN"/>
        </w:rPr>
      </w:pPr>
      <w:r w:rsidRPr="00391D66">
        <w:rPr>
          <w:bCs/>
          <w:color w:val="002060"/>
          <w:spacing w:val="2"/>
          <w:szCs w:val="28"/>
          <w:lang w:val="vi-VN"/>
        </w:rPr>
        <w:t>--------------------------------------------------------------------------------------------------</w:t>
      </w:r>
    </w:p>
    <w:p w14:paraId="1A7DF975" w14:textId="04BB3436" w:rsidR="00276C42" w:rsidRPr="00832F8C" w:rsidRDefault="00276C42" w:rsidP="00276C42">
      <w:pPr>
        <w:spacing w:before="120" w:after="120" w:line="360" w:lineRule="exact"/>
        <w:jc w:val="both"/>
        <w:rPr>
          <w:color w:val="002060"/>
          <w:spacing w:val="-6"/>
          <w:szCs w:val="28"/>
          <w:lang w:val="vi-VN"/>
        </w:rPr>
      </w:pPr>
      <w:r w:rsidRPr="00832F8C">
        <w:rPr>
          <w:i/>
          <w:color w:val="002060"/>
          <w:szCs w:val="28"/>
          <w:lang w:val="vi-VN"/>
        </w:rPr>
        <w:t>Tổng hợp thông tin từ</w:t>
      </w:r>
      <w:r w:rsidRPr="00832F8C">
        <w:rPr>
          <w:i/>
          <w:color w:val="002060"/>
          <w:szCs w:val="28"/>
          <w:lang w:val="pt-BR"/>
        </w:rPr>
        <w:t>:</w:t>
      </w:r>
      <w:r w:rsidRPr="00391D66">
        <w:rPr>
          <w:rFonts w:eastAsia="Times New Roman"/>
          <w:i/>
          <w:color w:val="002060"/>
          <w:szCs w:val="28"/>
          <w:lang w:val="vi-VN"/>
        </w:rPr>
        <w:t xml:space="preserve"> </w:t>
      </w:r>
      <w:r w:rsidRPr="00391D66">
        <w:rPr>
          <w:i/>
          <w:color w:val="002060"/>
          <w:szCs w:val="28"/>
          <w:lang w:val="vi-VN"/>
        </w:rPr>
        <w:t xml:space="preserve">Bản tin thông tin </w:t>
      </w:r>
      <w:r w:rsidRPr="00832F8C">
        <w:rPr>
          <w:i/>
          <w:color w:val="002060"/>
          <w:szCs w:val="28"/>
          <w:lang w:val="vi-VN"/>
        </w:rPr>
        <w:t>công tác tuyên giáo của Ban Tuyên giáo Trung ương</w:t>
      </w:r>
      <w:r w:rsidR="007271EA" w:rsidRPr="007271EA">
        <w:rPr>
          <w:i/>
          <w:color w:val="002060"/>
          <w:szCs w:val="28"/>
          <w:lang w:val="vi-VN"/>
        </w:rPr>
        <w:t xml:space="preserve"> và </w:t>
      </w:r>
      <w:r w:rsidR="007271EA">
        <w:rPr>
          <w:i/>
          <w:color w:val="002060"/>
          <w:szCs w:val="28"/>
          <w:lang w:val="vi-VN"/>
        </w:rPr>
        <w:t>Ban Tuyên giáo</w:t>
      </w:r>
      <w:r w:rsidR="007271EA" w:rsidRPr="007271EA">
        <w:rPr>
          <w:i/>
          <w:color w:val="002060"/>
          <w:szCs w:val="28"/>
          <w:lang w:val="vi-VN"/>
        </w:rPr>
        <w:t xml:space="preserve"> Thành ủy</w:t>
      </w:r>
      <w:r w:rsidRPr="00832F8C">
        <w:rPr>
          <w:bCs/>
          <w:i/>
          <w:color w:val="002060"/>
          <w:szCs w:val="28"/>
          <w:lang w:val="vi-VN"/>
        </w:rPr>
        <w:t>.</w:t>
      </w:r>
    </w:p>
    <w:p w14:paraId="79CAC11B" w14:textId="77777777" w:rsidR="00276C42" w:rsidRPr="00276C42" w:rsidRDefault="00276C42" w:rsidP="00B52D62">
      <w:pPr>
        <w:spacing w:before="120" w:after="120" w:line="370" w:lineRule="exact"/>
        <w:ind w:firstLine="720"/>
        <w:jc w:val="both"/>
        <w:rPr>
          <w:szCs w:val="28"/>
          <w:lang w:val="vi-VN"/>
        </w:rPr>
      </w:pPr>
    </w:p>
    <w:p w14:paraId="47996FD1" w14:textId="77777777" w:rsidR="00EA68D0" w:rsidRPr="00B342CA" w:rsidRDefault="00EA68D0" w:rsidP="007B1676">
      <w:pPr>
        <w:spacing w:before="120" w:after="120" w:line="360" w:lineRule="exact"/>
        <w:ind w:firstLine="720"/>
        <w:jc w:val="center"/>
        <w:rPr>
          <w:rFonts w:eastAsia="Times New Roman"/>
          <w:bCs/>
          <w:color w:val="002060"/>
          <w:szCs w:val="28"/>
          <w:lang w:val="vi-VN"/>
        </w:rPr>
      </w:pPr>
    </w:p>
    <w:sectPr w:rsidR="00EA68D0" w:rsidRPr="00B342CA" w:rsidSect="000867A0">
      <w:pgSz w:w="12240" w:h="15840"/>
      <w:pgMar w:top="540" w:right="63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8707" w14:textId="77777777" w:rsidR="000867A0" w:rsidRDefault="000867A0" w:rsidP="003F1D37">
      <w:pPr>
        <w:spacing w:after="0" w:line="240" w:lineRule="auto"/>
      </w:pPr>
      <w:r>
        <w:separator/>
      </w:r>
    </w:p>
  </w:endnote>
  <w:endnote w:type="continuationSeparator" w:id="0">
    <w:p w14:paraId="27FFC5E7" w14:textId="77777777" w:rsidR="000867A0" w:rsidRDefault="000867A0" w:rsidP="003F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7BF5" w14:textId="77777777" w:rsidR="000867A0" w:rsidRDefault="000867A0" w:rsidP="003F1D37">
      <w:pPr>
        <w:spacing w:after="0" w:line="240" w:lineRule="auto"/>
      </w:pPr>
      <w:r>
        <w:separator/>
      </w:r>
    </w:p>
  </w:footnote>
  <w:footnote w:type="continuationSeparator" w:id="0">
    <w:p w14:paraId="030FB6F4" w14:textId="77777777" w:rsidR="000867A0" w:rsidRDefault="000867A0" w:rsidP="003F1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D82"/>
    <w:multiLevelType w:val="hybridMultilevel"/>
    <w:tmpl w:val="E81ADEF8"/>
    <w:lvl w:ilvl="0" w:tplc="BCF213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2E4F37"/>
    <w:multiLevelType w:val="hybridMultilevel"/>
    <w:tmpl w:val="AE14C1B8"/>
    <w:lvl w:ilvl="0" w:tplc="AD40185A">
      <w:start w:val="1"/>
      <w:numFmt w:val="decimal"/>
      <w:lvlText w:val="%1."/>
      <w:lvlJc w:val="left"/>
      <w:pPr>
        <w:tabs>
          <w:tab w:val="num" w:pos="567"/>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F1469"/>
    <w:multiLevelType w:val="hybridMultilevel"/>
    <w:tmpl w:val="644065D2"/>
    <w:lvl w:ilvl="0" w:tplc="26EEF3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0501453">
    <w:abstractNumId w:val="0"/>
  </w:num>
  <w:num w:numId="2" w16cid:durableId="246966158">
    <w:abstractNumId w:val="2"/>
  </w:num>
  <w:num w:numId="3" w16cid:durableId="91239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71"/>
    <w:rsid w:val="00020D2D"/>
    <w:rsid w:val="00024EC3"/>
    <w:rsid w:val="000441DA"/>
    <w:rsid w:val="00046E77"/>
    <w:rsid w:val="00051E56"/>
    <w:rsid w:val="00057421"/>
    <w:rsid w:val="000673BA"/>
    <w:rsid w:val="00071675"/>
    <w:rsid w:val="000867A0"/>
    <w:rsid w:val="00087993"/>
    <w:rsid w:val="000A133A"/>
    <w:rsid w:val="000B705E"/>
    <w:rsid w:val="000C0542"/>
    <w:rsid w:val="000C4CBD"/>
    <w:rsid w:val="000D4C6A"/>
    <w:rsid w:val="000E2939"/>
    <w:rsid w:val="000E473D"/>
    <w:rsid w:val="000E5D62"/>
    <w:rsid w:val="000F3EC2"/>
    <w:rsid w:val="00100AC5"/>
    <w:rsid w:val="0010478B"/>
    <w:rsid w:val="00114913"/>
    <w:rsid w:val="0011680F"/>
    <w:rsid w:val="00122456"/>
    <w:rsid w:val="00133B12"/>
    <w:rsid w:val="00140216"/>
    <w:rsid w:val="00142478"/>
    <w:rsid w:val="001479A6"/>
    <w:rsid w:val="00150721"/>
    <w:rsid w:val="001524ED"/>
    <w:rsid w:val="00160777"/>
    <w:rsid w:val="001719A6"/>
    <w:rsid w:val="001752DE"/>
    <w:rsid w:val="001927C2"/>
    <w:rsid w:val="00193F88"/>
    <w:rsid w:val="00197E1C"/>
    <w:rsid w:val="001C5416"/>
    <w:rsid w:val="001C7C30"/>
    <w:rsid w:val="001D7736"/>
    <w:rsid w:val="001E16EA"/>
    <w:rsid w:val="001F07C6"/>
    <w:rsid w:val="001F6AEE"/>
    <w:rsid w:val="001F6E4B"/>
    <w:rsid w:val="00213D79"/>
    <w:rsid w:val="00235B37"/>
    <w:rsid w:val="002370F1"/>
    <w:rsid w:val="00241F0F"/>
    <w:rsid w:val="00250F47"/>
    <w:rsid w:val="002560A5"/>
    <w:rsid w:val="00276C42"/>
    <w:rsid w:val="0028457B"/>
    <w:rsid w:val="00286BD7"/>
    <w:rsid w:val="00297B34"/>
    <w:rsid w:val="002A27E1"/>
    <w:rsid w:val="002B0C57"/>
    <w:rsid w:val="002C4857"/>
    <w:rsid w:val="002D779A"/>
    <w:rsid w:val="002F0237"/>
    <w:rsid w:val="002F5642"/>
    <w:rsid w:val="00314568"/>
    <w:rsid w:val="00324CDA"/>
    <w:rsid w:val="003334F4"/>
    <w:rsid w:val="00337CCE"/>
    <w:rsid w:val="00341D09"/>
    <w:rsid w:val="00344B9B"/>
    <w:rsid w:val="00350248"/>
    <w:rsid w:val="00357AD8"/>
    <w:rsid w:val="00364785"/>
    <w:rsid w:val="00377E44"/>
    <w:rsid w:val="00380BC9"/>
    <w:rsid w:val="00391D66"/>
    <w:rsid w:val="003B3300"/>
    <w:rsid w:val="003C25D9"/>
    <w:rsid w:val="003E41B4"/>
    <w:rsid w:val="003F1D37"/>
    <w:rsid w:val="00401018"/>
    <w:rsid w:val="00417E7B"/>
    <w:rsid w:val="00424ED1"/>
    <w:rsid w:val="0043608D"/>
    <w:rsid w:val="00455EEC"/>
    <w:rsid w:val="00493FE5"/>
    <w:rsid w:val="0049561D"/>
    <w:rsid w:val="004A04B1"/>
    <w:rsid w:val="004C3EE0"/>
    <w:rsid w:val="004E199F"/>
    <w:rsid w:val="004F0CBA"/>
    <w:rsid w:val="005053BD"/>
    <w:rsid w:val="00505721"/>
    <w:rsid w:val="00513E0D"/>
    <w:rsid w:val="00517417"/>
    <w:rsid w:val="00522C66"/>
    <w:rsid w:val="00536103"/>
    <w:rsid w:val="00575E1A"/>
    <w:rsid w:val="005822BB"/>
    <w:rsid w:val="00584EB5"/>
    <w:rsid w:val="00585DE6"/>
    <w:rsid w:val="00595089"/>
    <w:rsid w:val="005A6775"/>
    <w:rsid w:val="005B5B75"/>
    <w:rsid w:val="005C2BB5"/>
    <w:rsid w:val="005C59D1"/>
    <w:rsid w:val="005D03BE"/>
    <w:rsid w:val="005E467E"/>
    <w:rsid w:val="005F2EAB"/>
    <w:rsid w:val="00605A40"/>
    <w:rsid w:val="006151EE"/>
    <w:rsid w:val="00623932"/>
    <w:rsid w:val="00634112"/>
    <w:rsid w:val="00656046"/>
    <w:rsid w:val="00656E36"/>
    <w:rsid w:val="006A044D"/>
    <w:rsid w:val="006B5071"/>
    <w:rsid w:val="006C2E18"/>
    <w:rsid w:val="006C543A"/>
    <w:rsid w:val="006D0BBC"/>
    <w:rsid w:val="006E3BDB"/>
    <w:rsid w:val="006F046E"/>
    <w:rsid w:val="006F10AA"/>
    <w:rsid w:val="006F3281"/>
    <w:rsid w:val="00704E84"/>
    <w:rsid w:val="00710DA5"/>
    <w:rsid w:val="00725824"/>
    <w:rsid w:val="007271EA"/>
    <w:rsid w:val="007367BB"/>
    <w:rsid w:val="00754A42"/>
    <w:rsid w:val="0078707C"/>
    <w:rsid w:val="00793D9E"/>
    <w:rsid w:val="007A7744"/>
    <w:rsid w:val="007B1676"/>
    <w:rsid w:val="007B7340"/>
    <w:rsid w:val="007C60F4"/>
    <w:rsid w:val="007C76BA"/>
    <w:rsid w:val="007D1D52"/>
    <w:rsid w:val="008014E6"/>
    <w:rsid w:val="00822A9E"/>
    <w:rsid w:val="008237E8"/>
    <w:rsid w:val="00824652"/>
    <w:rsid w:val="00832462"/>
    <w:rsid w:val="00832F8C"/>
    <w:rsid w:val="008336C3"/>
    <w:rsid w:val="008344FC"/>
    <w:rsid w:val="00835837"/>
    <w:rsid w:val="008450F3"/>
    <w:rsid w:val="00873F94"/>
    <w:rsid w:val="00890581"/>
    <w:rsid w:val="008B2B4B"/>
    <w:rsid w:val="008B5AAF"/>
    <w:rsid w:val="008B6DB4"/>
    <w:rsid w:val="008C057D"/>
    <w:rsid w:val="008C3D49"/>
    <w:rsid w:val="008C5B34"/>
    <w:rsid w:val="008D39ED"/>
    <w:rsid w:val="008D4BBF"/>
    <w:rsid w:val="008D5173"/>
    <w:rsid w:val="008E100F"/>
    <w:rsid w:val="0090608E"/>
    <w:rsid w:val="009067FC"/>
    <w:rsid w:val="0090684F"/>
    <w:rsid w:val="00906994"/>
    <w:rsid w:val="009172C2"/>
    <w:rsid w:val="00951CC7"/>
    <w:rsid w:val="00965A6E"/>
    <w:rsid w:val="009677AF"/>
    <w:rsid w:val="00983394"/>
    <w:rsid w:val="009935BB"/>
    <w:rsid w:val="009A2353"/>
    <w:rsid w:val="009A5301"/>
    <w:rsid w:val="009A5FF7"/>
    <w:rsid w:val="009B39DA"/>
    <w:rsid w:val="009B43C2"/>
    <w:rsid w:val="009C2F6F"/>
    <w:rsid w:val="009E6245"/>
    <w:rsid w:val="00A10E3B"/>
    <w:rsid w:val="00A13A02"/>
    <w:rsid w:val="00A16C2F"/>
    <w:rsid w:val="00A263E2"/>
    <w:rsid w:val="00A33B30"/>
    <w:rsid w:val="00A40348"/>
    <w:rsid w:val="00A40DD1"/>
    <w:rsid w:val="00A466A4"/>
    <w:rsid w:val="00A579AB"/>
    <w:rsid w:val="00A60953"/>
    <w:rsid w:val="00A70889"/>
    <w:rsid w:val="00A92B32"/>
    <w:rsid w:val="00AB0896"/>
    <w:rsid w:val="00AB5668"/>
    <w:rsid w:val="00AC2E3C"/>
    <w:rsid w:val="00AE3DB7"/>
    <w:rsid w:val="00AE5E40"/>
    <w:rsid w:val="00AF5C33"/>
    <w:rsid w:val="00B03CAE"/>
    <w:rsid w:val="00B07960"/>
    <w:rsid w:val="00B156D2"/>
    <w:rsid w:val="00B21994"/>
    <w:rsid w:val="00B342CA"/>
    <w:rsid w:val="00B52A43"/>
    <w:rsid w:val="00B5470F"/>
    <w:rsid w:val="00B61595"/>
    <w:rsid w:val="00B73831"/>
    <w:rsid w:val="00B73F22"/>
    <w:rsid w:val="00B8733B"/>
    <w:rsid w:val="00B94AF4"/>
    <w:rsid w:val="00BD51B5"/>
    <w:rsid w:val="00BE25D2"/>
    <w:rsid w:val="00BE5A3E"/>
    <w:rsid w:val="00BF77D5"/>
    <w:rsid w:val="00C00A49"/>
    <w:rsid w:val="00C17467"/>
    <w:rsid w:val="00C22666"/>
    <w:rsid w:val="00C42142"/>
    <w:rsid w:val="00C42A90"/>
    <w:rsid w:val="00C51414"/>
    <w:rsid w:val="00C56BE8"/>
    <w:rsid w:val="00C6568B"/>
    <w:rsid w:val="00C67513"/>
    <w:rsid w:val="00C70292"/>
    <w:rsid w:val="00C843B0"/>
    <w:rsid w:val="00C844E7"/>
    <w:rsid w:val="00C97E9C"/>
    <w:rsid w:val="00CA1D98"/>
    <w:rsid w:val="00CA6058"/>
    <w:rsid w:val="00CB42AA"/>
    <w:rsid w:val="00CC4D64"/>
    <w:rsid w:val="00CC617A"/>
    <w:rsid w:val="00CE684F"/>
    <w:rsid w:val="00CE68DC"/>
    <w:rsid w:val="00D07E27"/>
    <w:rsid w:val="00D25121"/>
    <w:rsid w:val="00D42CBD"/>
    <w:rsid w:val="00D45A27"/>
    <w:rsid w:val="00D55FA4"/>
    <w:rsid w:val="00D768DA"/>
    <w:rsid w:val="00DA2EF9"/>
    <w:rsid w:val="00DA4D62"/>
    <w:rsid w:val="00DA740B"/>
    <w:rsid w:val="00DB1A57"/>
    <w:rsid w:val="00DC57AE"/>
    <w:rsid w:val="00DE3DFE"/>
    <w:rsid w:val="00DF0F9A"/>
    <w:rsid w:val="00E11770"/>
    <w:rsid w:val="00E13DD0"/>
    <w:rsid w:val="00E23EAF"/>
    <w:rsid w:val="00E346A3"/>
    <w:rsid w:val="00E502C3"/>
    <w:rsid w:val="00E50A6E"/>
    <w:rsid w:val="00E569B4"/>
    <w:rsid w:val="00E56F73"/>
    <w:rsid w:val="00E70486"/>
    <w:rsid w:val="00E72EF2"/>
    <w:rsid w:val="00E90862"/>
    <w:rsid w:val="00E9621B"/>
    <w:rsid w:val="00EA68D0"/>
    <w:rsid w:val="00EB19A9"/>
    <w:rsid w:val="00EB60BE"/>
    <w:rsid w:val="00EC1AF1"/>
    <w:rsid w:val="00EC3093"/>
    <w:rsid w:val="00ED2979"/>
    <w:rsid w:val="00ED41B8"/>
    <w:rsid w:val="00EE0745"/>
    <w:rsid w:val="00EE73CC"/>
    <w:rsid w:val="00F1030D"/>
    <w:rsid w:val="00F34F93"/>
    <w:rsid w:val="00F42003"/>
    <w:rsid w:val="00F55C06"/>
    <w:rsid w:val="00F759E7"/>
    <w:rsid w:val="00F86CEC"/>
    <w:rsid w:val="00F94CA9"/>
    <w:rsid w:val="00F96EB7"/>
    <w:rsid w:val="00F96F98"/>
    <w:rsid w:val="00FA191D"/>
    <w:rsid w:val="00FA23F6"/>
    <w:rsid w:val="00FB45FB"/>
    <w:rsid w:val="00FC3EED"/>
    <w:rsid w:val="00FC5F2D"/>
    <w:rsid w:val="00FC6C3C"/>
    <w:rsid w:val="00FD6A8E"/>
    <w:rsid w:val="00FD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4F8D"/>
  <w15:chartTrackingRefBased/>
  <w15:docId w15:val="{84E5DC84-2365-4C67-B108-5B25E43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70C0"/>
      <w:sz w:val="28"/>
      <w:szCs w:val="22"/>
    </w:rPr>
  </w:style>
  <w:style w:type="paragraph" w:styleId="Heading1">
    <w:name w:val="heading 1"/>
    <w:basedOn w:val="Normal"/>
    <w:next w:val="Normal"/>
    <w:link w:val="Heading1Char"/>
    <w:uiPriority w:val="9"/>
    <w:qFormat/>
    <w:rsid w:val="002370F1"/>
    <w:pPr>
      <w:keepNext/>
      <w:spacing w:before="240" w:after="60" w:line="240" w:lineRule="auto"/>
      <w:outlineLvl w:val="0"/>
    </w:pPr>
    <w:rPr>
      <w:rFonts w:ascii="Cambria" w:eastAsia="Times New Roman" w:hAnsi="Cambria"/>
      <w:b/>
      <w:bCs/>
      <w:color w:val="auto"/>
      <w:kern w:val="32"/>
      <w:sz w:val="32"/>
      <w:szCs w:val="32"/>
    </w:rPr>
  </w:style>
  <w:style w:type="paragraph" w:styleId="Heading2">
    <w:name w:val="heading 2"/>
    <w:next w:val="Normal"/>
    <w:link w:val="Heading2Char"/>
    <w:semiHidden/>
    <w:unhideWhenUsed/>
    <w:qFormat/>
    <w:rsid w:val="008344FC"/>
    <w:pPr>
      <w:spacing w:beforeAutospacing="1" w:afterAutospacing="1"/>
      <w:outlineLvl w:val="1"/>
    </w:pPr>
    <w:rPr>
      <w:rFonts w:ascii="SimSun" w:eastAsia="SimSun" w:hAnsi="SimSun" w:hint="eastAsia"/>
      <w:b/>
      <w:bCs/>
      <w:sz w:val="36"/>
      <w:szCs w:val="36"/>
      <w:lang w:eastAsia="zh-CN"/>
    </w:rPr>
  </w:style>
  <w:style w:type="paragraph" w:styleId="Heading3">
    <w:name w:val="heading 3"/>
    <w:basedOn w:val="Normal"/>
    <w:link w:val="Heading3Char"/>
    <w:uiPriority w:val="9"/>
    <w:qFormat/>
    <w:rsid w:val="00951CC7"/>
    <w:pPr>
      <w:spacing w:before="100" w:beforeAutospacing="1" w:after="100" w:afterAutospacing="1" w:line="240" w:lineRule="auto"/>
      <w:outlineLvl w:val="2"/>
    </w:pPr>
    <w:rPr>
      <w:rFonts w:eastAsia="Times New Roman"/>
      <w:b/>
      <w:bCs/>
      <w:noProof/>
      <w:color w:val="auto"/>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367BB"/>
  </w:style>
  <w:style w:type="character" w:styleId="Hyperlink">
    <w:name w:val="Hyperlink"/>
    <w:uiPriority w:val="99"/>
    <w:unhideWhenUsed/>
    <w:qFormat/>
    <w:rsid w:val="005053BD"/>
    <w:rPr>
      <w:color w:val="0000FF"/>
      <w:u w:val="single"/>
    </w:rPr>
  </w:style>
  <w:style w:type="character" w:customStyle="1" w:styleId="Heading3Char">
    <w:name w:val="Heading 3 Char"/>
    <w:link w:val="Heading3"/>
    <w:uiPriority w:val="9"/>
    <w:rsid w:val="00951CC7"/>
    <w:rPr>
      <w:rFonts w:eastAsia="Times New Roman"/>
      <w:b/>
      <w:bCs/>
      <w:noProof/>
      <w:sz w:val="27"/>
      <w:szCs w:val="27"/>
      <w:lang w:val="x-none" w:eastAsia="x-none"/>
    </w:rPr>
  </w:style>
  <w:style w:type="character" w:styleId="Strong">
    <w:name w:val="Strong"/>
    <w:uiPriority w:val="22"/>
    <w:qFormat/>
    <w:rsid w:val="00114913"/>
    <w:rPr>
      <w:b/>
      <w:bCs/>
    </w:rPr>
  </w:style>
  <w:style w:type="character" w:customStyle="1" w:styleId="Heading1Char">
    <w:name w:val="Heading 1 Char"/>
    <w:link w:val="Heading1"/>
    <w:uiPriority w:val="9"/>
    <w:rsid w:val="002370F1"/>
    <w:rPr>
      <w:rFonts w:ascii="Cambria" w:eastAsia="Times New Roman" w:hAnsi="Cambria"/>
      <w:b/>
      <w:bCs/>
      <w:kern w:val="32"/>
      <w:sz w:val="32"/>
      <w:szCs w:val="32"/>
    </w:rPr>
  </w:style>
  <w:style w:type="paragraph" w:styleId="FootnoteText">
    <w:name w:val="footnote text"/>
    <w:aliases w:val="Footnote Text Char Char Char Char Char,Footnote Text Char Char Char Char Char Char Ch Char Char,Footnote Text Char Char Char Char Char Char Ch,Footnote Text Char Char Char Char Char Char Ch Char Char Char,single space,fn,footnote text,Char"/>
    <w:basedOn w:val="Normal"/>
    <w:link w:val="FootnoteTextChar"/>
    <w:uiPriority w:val="99"/>
    <w:unhideWhenUsed/>
    <w:qFormat/>
    <w:rsid w:val="003F1D37"/>
    <w:pPr>
      <w:spacing w:after="0" w:line="240" w:lineRule="auto"/>
    </w:pPr>
    <w:rPr>
      <w:color w:val="auto"/>
      <w:sz w:val="20"/>
      <w:szCs w:val="20"/>
    </w:rPr>
  </w:style>
  <w:style w:type="character" w:customStyle="1" w:styleId="FootnoteTextChar">
    <w:name w:val="Footnote Text Char"/>
    <w:aliases w:val="Footnote Text Char Char Char Char Char Char,Footnote Text Char Char Char Char Char Char Ch Char Char Char1,Footnote Text Char Char Char Char Char Char Ch Char,Footnote Text Char Char Char Char Char Char Ch Char Char Char Char,fn Char"/>
    <w:basedOn w:val="DefaultParagraphFont"/>
    <w:link w:val="FootnoteText"/>
    <w:uiPriority w:val="99"/>
    <w:qFormat/>
    <w:rsid w:val="003F1D37"/>
  </w:style>
  <w:style w:type="character" w:styleId="FootnoteReference">
    <w:name w:val="footnote reference"/>
    <w:aliases w:val="Footnote,Footnote text,ftref,BearingPoint,16 Point,Superscript 6 Point,Footnote Text1,Footnote Text Char Char Char Char Char Char Ch Char Char Char Char Char Char C,f,Ref,de nota al pie,Footnote + Arial,10 pt,Black,Footnote Text11,fr"/>
    <w:link w:val="Ref1"/>
    <w:uiPriority w:val="99"/>
    <w:unhideWhenUsed/>
    <w:qFormat/>
    <w:rsid w:val="003F1D37"/>
    <w:rPr>
      <w:vertAlign w:val="superscript"/>
    </w:rPr>
  </w:style>
  <w:style w:type="paragraph" w:styleId="BalloonText">
    <w:name w:val="Balloon Text"/>
    <w:basedOn w:val="Normal"/>
    <w:link w:val="BalloonTextChar"/>
    <w:uiPriority w:val="99"/>
    <w:semiHidden/>
    <w:unhideWhenUsed/>
    <w:rsid w:val="00704E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4E84"/>
    <w:rPr>
      <w:rFonts w:ascii="Segoe UI" w:hAnsi="Segoe UI" w:cs="Segoe UI"/>
      <w:color w:val="0070C0"/>
      <w:sz w:val="18"/>
      <w:szCs w:val="1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Char Char25"/>
    <w:basedOn w:val="Normal"/>
    <w:link w:val="NormalWebChar"/>
    <w:uiPriority w:val="99"/>
    <w:unhideWhenUsed/>
    <w:qFormat/>
    <w:rsid w:val="006C543A"/>
    <w:pPr>
      <w:spacing w:before="100" w:beforeAutospacing="1" w:after="100" w:afterAutospacing="1" w:line="240" w:lineRule="auto"/>
    </w:pPr>
    <w:rPr>
      <w:rFonts w:eastAsia="Times New Roman"/>
      <w:color w:val="auto"/>
      <w:sz w:val="24"/>
      <w:szCs w:val="24"/>
    </w:rPr>
  </w:style>
  <w:style w:type="character" w:styleId="Emphasis">
    <w:name w:val="Emphasis"/>
    <w:uiPriority w:val="20"/>
    <w:qFormat/>
    <w:rsid w:val="006C543A"/>
    <w:rPr>
      <w:i/>
      <w:iCs/>
    </w:rPr>
  </w:style>
  <w:style w:type="paragraph" w:styleId="ListParagraph">
    <w:name w:val="List Paragraph"/>
    <w:aliases w:val="List Paragraph1,normalnumber,head 2"/>
    <w:basedOn w:val="Normal"/>
    <w:link w:val="ListParagraphChar"/>
    <w:uiPriority w:val="34"/>
    <w:qFormat/>
    <w:rsid w:val="005F2EAB"/>
    <w:pPr>
      <w:spacing w:after="120" w:line="240" w:lineRule="auto"/>
      <w:ind w:left="720" w:firstLine="357"/>
      <w:contextualSpacing/>
      <w:jc w:val="both"/>
    </w:pPr>
    <w:rPr>
      <w:color w:val="auto"/>
      <w:sz w:val="26"/>
      <w:lang w:val="x-none" w:eastAsia="x-none"/>
    </w:rPr>
  </w:style>
  <w:style w:type="character" w:customStyle="1" w:styleId="ListParagraphChar">
    <w:name w:val="List Paragraph Char"/>
    <w:aliases w:val="List Paragraph1 Char,normalnumber Char,head 2 Char"/>
    <w:link w:val="ListParagraph"/>
    <w:uiPriority w:val="34"/>
    <w:qFormat/>
    <w:locked/>
    <w:rsid w:val="005F2EAB"/>
    <w:rPr>
      <w:sz w:val="26"/>
      <w:szCs w:val="22"/>
      <w:lang w:val="x-none" w:eastAsia="x-none"/>
    </w:rPr>
  </w:style>
  <w:style w:type="character" w:customStyle="1" w:styleId="dieuCharChar">
    <w:name w:val="dieu Char Char"/>
    <w:rsid w:val="005F2EAB"/>
    <w:rPr>
      <w:b/>
      <w:color w:val="0000FF"/>
      <w:sz w:val="26"/>
      <w:szCs w:val="24"/>
      <w:lang w:val="en-US" w:eastAsia="en-US" w:bidi="ar-SA"/>
    </w:rPr>
  </w:style>
  <w:style w:type="character" w:customStyle="1" w:styleId="BodyTextChar">
    <w:name w:val="Body Text Char"/>
    <w:link w:val="BodyText"/>
    <w:rsid w:val="005F2EAB"/>
    <w:rPr>
      <w:rFonts w:ascii="Calibri" w:hAnsi="Calibri"/>
      <w:sz w:val="22"/>
      <w:szCs w:val="22"/>
    </w:rPr>
  </w:style>
  <w:style w:type="paragraph" w:styleId="BodyText">
    <w:name w:val="Body Text"/>
    <w:basedOn w:val="Normal"/>
    <w:link w:val="BodyTextChar"/>
    <w:rsid w:val="005F2EAB"/>
    <w:pPr>
      <w:spacing w:after="120" w:line="276" w:lineRule="auto"/>
    </w:pPr>
    <w:rPr>
      <w:rFonts w:ascii="Calibri" w:hAnsi="Calibri"/>
      <w:color w:val="auto"/>
      <w:sz w:val="22"/>
    </w:rPr>
  </w:style>
  <w:style w:type="character" w:customStyle="1" w:styleId="BodyTextChar1">
    <w:name w:val="Body Text Char1"/>
    <w:basedOn w:val="DefaultParagraphFont"/>
    <w:uiPriority w:val="99"/>
    <w:semiHidden/>
    <w:rsid w:val="005F2EAB"/>
    <w:rPr>
      <w:color w:val="0070C0"/>
      <w:sz w:val="28"/>
      <w:szCs w:val="22"/>
    </w:rPr>
  </w:style>
  <w:style w:type="paragraph" w:customStyle="1" w:styleId="Ref1">
    <w:name w:val="Ref1"/>
    <w:aliases w:val="BVI fnr Char Char Char Char Char Char,BVI fnr Car Car Char Char Char Char Char Char,BVI fnr Car Char Char Char Char Char Char,BVI fnr Car Car Car Car Char Char Char Char Char1 Char,FNRefe Char"/>
    <w:basedOn w:val="Normal"/>
    <w:link w:val="FootnoteReference"/>
    <w:uiPriority w:val="99"/>
    <w:rsid w:val="005F2EAB"/>
    <w:pPr>
      <w:spacing w:line="240" w:lineRule="exact"/>
    </w:pPr>
    <w:rPr>
      <w:color w:val="auto"/>
      <w:sz w:val="20"/>
      <w:szCs w:val="20"/>
      <w:vertAlign w:val="superscript"/>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uiPriority w:val="99"/>
    <w:qFormat/>
    <w:locked/>
    <w:rsid w:val="00CE684F"/>
    <w:rPr>
      <w:rFonts w:eastAsia="Times New Roman"/>
      <w:sz w:val="24"/>
      <w:szCs w:val="24"/>
    </w:rPr>
  </w:style>
  <w:style w:type="paragraph" w:customStyle="1" w:styleId="FootnotetextChar0">
    <w:name w:val="Footnote text Char"/>
    <w:basedOn w:val="Normal"/>
    <w:qFormat/>
    <w:rsid w:val="00BE5A3E"/>
    <w:pPr>
      <w:spacing w:before="120" w:after="120" w:line="240" w:lineRule="exact"/>
      <w:ind w:firstLine="720"/>
      <w:jc w:val="both"/>
    </w:pPr>
    <w:rPr>
      <w:rFonts w:eastAsiaTheme="minorHAnsi" w:cstheme="minorBidi"/>
      <w:color w:val="auto"/>
      <w:vertAlign w:val="superscript"/>
      <w:lang w:val="vi-VN"/>
    </w:rPr>
  </w:style>
  <w:style w:type="paragraph" w:customStyle="1" w:styleId="Normal1">
    <w:name w:val="Normal1"/>
    <w:qFormat/>
    <w:rsid w:val="00BE5A3E"/>
    <w:pPr>
      <w:spacing w:after="160" w:line="259" w:lineRule="auto"/>
    </w:pPr>
    <w:rPr>
      <w:rFonts w:ascii="Calibri" w:hAnsi="Calibri" w:cs="Calibri"/>
      <w:sz w:val="22"/>
      <w:szCs w:val="22"/>
    </w:rPr>
  </w:style>
  <w:style w:type="paragraph" w:customStyle="1" w:styleId="BVIfnrCarCar">
    <w:name w:val="BVI fnr Car Car"/>
    <w:aliases w:val="BVI fnr Car,BVI fnr Car Car Car Car Char"/>
    <w:basedOn w:val="Normal"/>
    <w:uiPriority w:val="99"/>
    <w:qFormat/>
    <w:rsid w:val="005B5B75"/>
    <w:pPr>
      <w:spacing w:line="240" w:lineRule="exact"/>
    </w:pPr>
    <w:rPr>
      <w:rFonts w:ascii="Calibri" w:hAnsi="Calibri"/>
      <w:color w:val="auto"/>
      <w:sz w:val="20"/>
      <w:szCs w:val="20"/>
      <w:vertAlign w:val="superscript"/>
    </w:rPr>
  </w:style>
  <w:style w:type="character" w:customStyle="1" w:styleId="Heading2Char">
    <w:name w:val="Heading 2 Char"/>
    <w:basedOn w:val="DefaultParagraphFont"/>
    <w:link w:val="Heading2"/>
    <w:semiHidden/>
    <w:rsid w:val="008344FC"/>
    <w:rPr>
      <w:rFonts w:ascii="SimSun" w:eastAsia="SimSun" w:hAnsi="SimSun"/>
      <w:b/>
      <w:bCs/>
      <w:sz w:val="36"/>
      <w:szCs w:val="36"/>
      <w:lang w:eastAsia="zh-CN"/>
    </w:rPr>
  </w:style>
  <w:style w:type="paragraph" w:customStyle="1" w:styleId="4GCharCharChar">
    <w:name w:val="4_G Char Char Char"/>
    <w:basedOn w:val="Normal"/>
    <w:qFormat/>
    <w:rsid w:val="008344FC"/>
    <w:pPr>
      <w:spacing w:before="100" w:after="0" w:line="240" w:lineRule="exact"/>
    </w:pPr>
    <w:rPr>
      <w:rFonts w:asciiTheme="minorHAnsi" w:eastAsiaTheme="minorHAnsi" w:hAnsiTheme="minorHAnsi" w:cstheme="minorBidi"/>
      <w:color w:val="auto"/>
      <w:sz w:val="24"/>
      <w:szCs w:val="24"/>
      <w:vertAlign w:val="superscript"/>
    </w:rPr>
  </w:style>
  <w:style w:type="character" w:styleId="FollowedHyperlink">
    <w:name w:val="FollowedHyperlink"/>
    <w:basedOn w:val="DefaultParagraphFont"/>
    <w:uiPriority w:val="99"/>
    <w:semiHidden/>
    <w:unhideWhenUsed/>
    <w:rsid w:val="008344FC"/>
    <w:rPr>
      <w:color w:val="954F72" w:themeColor="followedHyperlink"/>
      <w:u w:val="single"/>
    </w:rPr>
  </w:style>
  <w:style w:type="paragraph" w:styleId="Title">
    <w:name w:val="Title"/>
    <w:basedOn w:val="Normal"/>
    <w:next w:val="Normal"/>
    <w:link w:val="TitleChar"/>
    <w:uiPriority w:val="10"/>
    <w:qFormat/>
    <w:rsid w:val="00241F0F"/>
    <w:pPr>
      <w:spacing w:after="0" w:line="240" w:lineRule="auto"/>
      <w:ind w:left="-231" w:right="-447"/>
      <w:jc w:val="center"/>
    </w:pPr>
    <w:rPr>
      <w:rFonts w:eastAsia="Times New Roman"/>
      <w:b/>
      <w:caps/>
      <w:color w:val="000000"/>
      <w:szCs w:val="28"/>
    </w:rPr>
  </w:style>
  <w:style w:type="character" w:customStyle="1" w:styleId="TitleChar">
    <w:name w:val="Title Char"/>
    <w:basedOn w:val="DefaultParagraphFont"/>
    <w:link w:val="Title"/>
    <w:uiPriority w:val="10"/>
    <w:rsid w:val="00241F0F"/>
    <w:rPr>
      <w:rFonts w:eastAsia="Times New Roman"/>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D18EBE94A7B142BE3841BE05427EA0" ma:contentTypeVersion="8" ma:contentTypeDescription="Create a new document." ma:contentTypeScope="" ma:versionID="548f3dfef2fdef64d86f53224f51c020">
  <xsd:schema xmlns:xsd="http://www.w3.org/2001/XMLSchema" xmlns:xs="http://www.w3.org/2001/XMLSchema" xmlns:p="http://schemas.microsoft.com/office/2006/metadata/properties" xmlns:ns3="6c7539ec-0197-4b17-bc1c-c16e83949f56" targetNamespace="http://schemas.microsoft.com/office/2006/metadata/properties" ma:root="true" ma:fieldsID="1e4624ed7081ec268a8645ba15754815" ns3:_="">
    <xsd:import namespace="6c7539ec-0197-4b17-bc1c-c16e83949f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539ec-0197-4b17-bc1c-c16e83949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8A337-435B-4CC7-9260-1B16A3A09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781CE-D8D5-4C11-A642-DB99681D2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539ec-0197-4b17-bc1c-c16e83949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4BA48-419F-47E4-8992-04DE95BF2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Thinh Hung</dc:creator>
  <cp:keywords/>
  <dc:description/>
  <cp:lastModifiedBy>Ngô Thịnh Hưng</cp:lastModifiedBy>
  <cp:revision>4</cp:revision>
  <cp:lastPrinted>2020-03-10T01:34:00Z</cp:lastPrinted>
  <dcterms:created xsi:type="dcterms:W3CDTF">2024-04-01T09:31:00Z</dcterms:created>
  <dcterms:modified xsi:type="dcterms:W3CDTF">2024-04-01T09:32:00Z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0x01010053D18EBE94A7B142BE3841BE05427EA0</vt:lpwstr>
  </property>
</Properties>
</file>